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3" w:rsidRPr="00CA4E5C" w:rsidRDefault="007F5723" w:rsidP="007F5723">
      <w:pPr>
        <w:spacing w:after="0" w:line="240" w:lineRule="auto"/>
        <w:rPr>
          <w:rFonts w:ascii="Times New Roman" w:eastAsia="Times New Roman" w:hAnsi="Times New Roman" w:cs="Times New Roman"/>
          <w:color w:val="828C93"/>
          <w:szCs w:val="16"/>
          <w:lang w:eastAsia="fr-FR"/>
        </w:rPr>
      </w:pPr>
      <w:r w:rsidRPr="007F5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CA4E5C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 xml:space="preserve">               </w:t>
      </w:r>
      <w:r w:rsidRPr="00CA4E5C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Le Mouvement de la Paix (Communication</w:t>
      </w:r>
      <w:r w:rsidR="00CA4E5C" w:rsidRPr="00CA4E5C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)</w:t>
      </w:r>
    </w:p>
    <w:tbl>
      <w:tblPr>
        <w:tblW w:w="5000" w:type="pct"/>
        <w:jc w:val="center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9072"/>
      </w:tblGrid>
      <w:tr w:rsidR="007F5723" w:rsidRPr="007F5723" w:rsidTr="007F5723">
        <w:trPr>
          <w:jc w:val="center"/>
        </w:trPr>
        <w:tc>
          <w:tcPr>
            <w:tcW w:w="0" w:type="auto"/>
            <w:shd w:val="clear" w:color="auto" w:fill="E6E6E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F5723" w:rsidRPr="007F5723">
              <w:trPr>
                <w:jc w:val="center"/>
              </w:trPr>
              <w:tc>
                <w:tcPr>
                  <w:tcW w:w="0" w:type="auto"/>
                  <w:shd w:val="clear" w:color="auto" w:fill="E6E6E6"/>
                  <w:hideMark/>
                </w:tcPr>
                <w:tbl>
                  <w:tblPr>
                    <w:tblW w:w="5000" w:type="pct"/>
                    <w:jc w:val="center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723" w:rsidRPr="007F57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B1DCF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7F5723" w:rsidRPr="007F5723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1DCFA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5723" w:rsidRPr="007F5723" w:rsidRDefault="007F5723" w:rsidP="007F57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F5723" w:rsidRPr="007F5723" w:rsidRDefault="007F5723" w:rsidP="007F5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F5723" w:rsidRPr="007F5723">
              <w:trPr>
                <w:jc w:val="center"/>
              </w:trPr>
              <w:tc>
                <w:tcPr>
                  <w:tcW w:w="0" w:type="auto"/>
                  <w:shd w:val="clear" w:color="auto" w:fill="E6E6E6"/>
                  <w:hideMark/>
                </w:tcPr>
                <w:tbl>
                  <w:tblPr>
                    <w:tblW w:w="5000" w:type="pct"/>
                    <w:jc w:val="center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723" w:rsidRPr="007F5723" w:rsidTr="007F57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272" w:type="dxa"/>
                            <w:right w:w="272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7F5723" w:rsidRPr="007F572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28"/>
                              </w:tblGrid>
                              <w:tr w:rsidR="007F5723" w:rsidRPr="007F572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F5723" w:rsidRPr="007F5723" w:rsidRDefault="000260E6" w:rsidP="007F57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 </w:t>
                                    </w:r>
                                  </w:p>
                                </w:tc>
                              </w:tr>
                            </w:tbl>
                            <w:p w:rsidR="007F5723" w:rsidRPr="007F5723" w:rsidRDefault="007F5723" w:rsidP="007F57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5723" w:rsidRPr="007F5723" w:rsidRDefault="007F5723" w:rsidP="007F57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F5723" w:rsidRPr="007F5723" w:rsidRDefault="007F5723" w:rsidP="007F5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F5723" w:rsidRPr="007F5723">
              <w:trPr>
                <w:jc w:val="center"/>
              </w:trPr>
              <w:tc>
                <w:tcPr>
                  <w:tcW w:w="0" w:type="auto"/>
                  <w:shd w:val="clear" w:color="auto" w:fill="E6E6E6"/>
                  <w:hideMark/>
                </w:tcPr>
                <w:tbl>
                  <w:tblPr>
                    <w:tblW w:w="5000" w:type="pct"/>
                    <w:jc w:val="center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723" w:rsidRPr="007F5723" w:rsidTr="007F57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B1DCFA"/>
                          <w:tblCellMar>
                            <w:left w:w="272" w:type="dxa"/>
                            <w:right w:w="272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7F5723" w:rsidRPr="007F5723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1DCFA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5723" w:rsidRPr="007F5723" w:rsidRDefault="007F5723" w:rsidP="007F57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F5723" w:rsidRPr="007F5723" w:rsidRDefault="007F5723" w:rsidP="007F5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F5723" w:rsidRPr="007F5723">
              <w:trPr>
                <w:jc w:val="center"/>
              </w:trPr>
              <w:tc>
                <w:tcPr>
                  <w:tcW w:w="0" w:type="auto"/>
                  <w:shd w:val="clear" w:color="auto" w:fill="E6E6E6"/>
                  <w:hideMark/>
                </w:tcPr>
                <w:tbl>
                  <w:tblPr>
                    <w:tblW w:w="5000" w:type="pct"/>
                    <w:jc w:val="center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723" w:rsidRPr="007F5723" w:rsidTr="007F57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272" w:type="dxa"/>
                            <w:right w:w="272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5723" w:rsidRPr="007F5723" w:rsidRDefault="007F5723" w:rsidP="007F57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F5723" w:rsidRPr="007F5723" w:rsidRDefault="007F5723" w:rsidP="007F5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F5723" w:rsidRPr="007F5723">
              <w:trPr>
                <w:jc w:val="center"/>
              </w:trPr>
              <w:tc>
                <w:tcPr>
                  <w:tcW w:w="0" w:type="auto"/>
                  <w:shd w:val="clear" w:color="auto" w:fill="E6E6E6"/>
                  <w:hideMark/>
                </w:tcPr>
                <w:tbl>
                  <w:tblPr>
                    <w:tblW w:w="5000" w:type="pct"/>
                    <w:jc w:val="center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723" w:rsidRPr="007F5723" w:rsidTr="007F57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bottom w:val="single" w:sz="6" w:space="0" w:color="C8C8C8"/>
                          </w:tblBorders>
                          <w:shd w:val="clear" w:color="auto" w:fill="B1DCFA"/>
                          <w:tblCellMar>
                            <w:left w:w="272" w:type="dxa"/>
                            <w:right w:w="272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1DCFA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7F5723" w:rsidRPr="007F572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1DCF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28"/>
                              </w:tblGrid>
                              <w:tr w:rsidR="007F5723" w:rsidRPr="007F57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28"/>
                                    </w:tblGrid>
                                    <w:tr w:rsidR="007F5723" w:rsidRPr="007F572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7F5723" w:rsidP="007F572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</w:pPr>
                                          <w:r w:rsidRPr="007F57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lang w:eastAsia="fr-FR"/>
                                            </w:rPr>
                                            <w:t>Les 21 et 23 septembre, affirmons la Paix</w:t>
                                          </w:r>
                                          <w:r w:rsidR="00CA4E5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7F57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lang w:eastAsia="fr-FR"/>
                                            </w:rPr>
                                            <w:t>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F5723" w:rsidRPr="007F5723" w:rsidRDefault="007F5723" w:rsidP="007F57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5723" w:rsidRPr="007F5723" w:rsidRDefault="007F5723" w:rsidP="007F57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B1DCFA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5723" w:rsidRPr="007F5723" w:rsidRDefault="007F5723" w:rsidP="007F57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F5723" w:rsidRPr="007F5723" w:rsidRDefault="007F5723" w:rsidP="007F5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F5723" w:rsidRPr="007F5723">
              <w:trPr>
                <w:jc w:val="center"/>
              </w:trPr>
              <w:tc>
                <w:tcPr>
                  <w:tcW w:w="0" w:type="auto"/>
                  <w:shd w:val="clear" w:color="auto" w:fill="E6E6E6"/>
                  <w:hideMark/>
                </w:tcPr>
                <w:tbl>
                  <w:tblPr>
                    <w:tblW w:w="5000" w:type="pct"/>
                    <w:jc w:val="center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723" w:rsidRPr="007F5723" w:rsidTr="007F57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bottom w:val="single" w:sz="6" w:space="0" w:color="C8C8C8"/>
                          </w:tblBorders>
                          <w:shd w:val="clear" w:color="auto" w:fill="FFFFFF"/>
                          <w:tblCellMar>
                            <w:left w:w="272" w:type="dxa"/>
                            <w:right w:w="272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7F5723" w:rsidRPr="007F572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72"/>
                                <w:gridCol w:w="5556"/>
                              </w:tblGrid>
                              <w:tr w:rsidR="007F5723" w:rsidRPr="007F5723"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72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7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00"/>
                                    </w:tblGrid>
                                    <w:tr w:rsidR="007F5723" w:rsidRPr="007F5723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5723" w:rsidRPr="007F5723" w:rsidRDefault="007F5723" w:rsidP="007F572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196AD4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drawing>
                                              <wp:inline distT="0" distB="0" distL="0" distR="0">
                                                <wp:extent cx="1276985" cy="1923415"/>
                                                <wp:effectExtent l="19050" t="0" r="0" b="0"/>
                                                <wp:docPr id="2" name="Image 2" descr="http://yjk5.img.ca.d.sendibm2.com/7vq89s2073e.jpg">
                                                  <a:hlinkClick xmlns:a="http://schemas.openxmlformats.org/drawingml/2006/main" r:id="rId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yjk5.img.ca.d.sendibm2.com/7vq89s2073e.jpg">
                                                          <a:hlinkClick r:id="rId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76985" cy="19234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F5723" w:rsidRPr="007F5723" w:rsidRDefault="007F5723" w:rsidP="007F57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7F5723" w:rsidRPr="007F572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CB52A2" w:rsidP="007F57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999999"/>
                                              <w:sz w:val="25"/>
                                              <w:szCs w:val="25"/>
                                              <w:lang w:eastAsia="fr-FR"/>
                                            </w:rPr>
                                          </w:pPr>
                                          <w:hyperlink r:id="rId6" w:tgtFrame="_blank" w:history="1"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25"/>
                                                <w:lang w:eastAsia="fr-FR"/>
                                              </w:rPr>
                                              <w:t>Le 21 septembre, journée internationale de la paix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F5723" w:rsidRPr="007F5723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7F5723" w:rsidP="007F5723">
                                          <w:pPr>
                                            <w:spacing w:after="0" w:line="14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7F5723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F5723" w:rsidRPr="007F5723">
                                      <w:tc>
                                        <w:tcPr>
                                          <w:tcW w:w="4755" w:type="dxa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CB52A2" w:rsidP="007F572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</w:pPr>
                                          <w:hyperlink r:id="rId7" w:tgtFrame="_blank" w:history="1"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Les Nations Unies appellent « les États, organisations des Nations Unies, organisations régionales, organisations non-gouvernementales, peuples et particuliers à célébrer comme il convient (de façon appropriée) la journée internationale de la paix y compris au moyen d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’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activités d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’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éducation et de sensibilisation » Cette journée aura pour thème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 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: « Ensemble pour la paix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 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: Respect, dignité et sécurité pour tous ».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F5723" w:rsidRPr="007F5723" w:rsidRDefault="007F5723" w:rsidP="007F57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5723" w:rsidRPr="007F5723" w:rsidRDefault="007F5723" w:rsidP="007F57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5723" w:rsidRPr="007F5723" w:rsidRDefault="007F5723" w:rsidP="007F57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F5723" w:rsidRPr="007F5723" w:rsidRDefault="007F5723" w:rsidP="007F5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7F5723" w:rsidRPr="007F5723">
              <w:trPr>
                <w:jc w:val="center"/>
              </w:trPr>
              <w:tc>
                <w:tcPr>
                  <w:tcW w:w="0" w:type="auto"/>
                  <w:shd w:val="clear" w:color="auto" w:fill="E6E6E6"/>
                  <w:hideMark/>
                </w:tcPr>
                <w:tbl>
                  <w:tblPr>
                    <w:tblW w:w="5000" w:type="pct"/>
                    <w:jc w:val="center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F5723" w:rsidRPr="007F5723" w:rsidTr="007F572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bottom w:val="single" w:sz="24" w:space="0" w:color="B1DCFA"/>
                          </w:tblBorders>
                          <w:shd w:val="clear" w:color="auto" w:fill="FFFFFF"/>
                          <w:tblCellMar>
                            <w:left w:w="272" w:type="dxa"/>
                            <w:right w:w="272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7F5723" w:rsidRPr="007F572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F5723" w:rsidRPr="007F5723" w:rsidRDefault="007F5723" w:rsidP="007F5723">
                              <w:pPr>
                                <w:spacing w:after="0" w:line="14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7F572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7F5723" w:rsidRPr="007F572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28"/>
                              </w:tblGrid>
                              <w:tr w:rsidR="007F5723" w:rsidRPr="007F572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7F5723" w:rsidRPr="007F572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CB52A2" w:rsidP="007F572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999999"/>
                                              <w:sz w:val="25"/>
                                              <w:szCs w:val="25"/>
                                              <w:lang w:eastAsia="fr-FR"/>
                                            </w:rPr>
                                          </w:pPr>
                                          <w:hyperlink r:id="rId8" w:tgtFrame="_blank" w:history="1">
                                            <w:r w:rsidR="007F5723" w:rsidRPr="0040345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40"/>
                                                <w:lang w:eastAsia="fr-FR"/>
                                              </w:rPr>
                                              <w:t>Les Marches pour la Paix</w:t>
                                            </w:r>
                                            <w:r w:rsidR="00CA4E5C" w:rsidRPr="0040345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40"/>
                                                <w:lang w:eastAsia="fr-FR"/>
                                              </w:rPr>
                                              <w:t> </w:t>
                                            </w:r>
                                            <w:r w:rsidR="007F5723" w:rsidRPr="0040345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40"/>
                                                <w:lang w:eastAsia="fr-FR"/>
                                              </w:rPr>
                                              <w:t>: plus de 30 villes au rendez-vous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F5723" w:rsidRPr="007F5723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7F5723" w:rsidP="007F5723">
                                          <w:pPr>
                                            <w:spacing w:after="0" w:line="14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7F5723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F5723" w:rsidRPr="007F5723">
                                      <w:tc>
                                        <w:tcPr>
                                          <w:tcW w:w="4755" w:type="dxa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7F5723" w:rsidP="007F572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</w:pPr>
                                          <w:r w:rsidRPr="007F5723"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7F5723" w:rsidRPr="007F5723" w:rsidRDefault="00CB52A2" w:rsidP="007F572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</w:pPr>
                                          <w:hyperlink r:id="rId9" w:tgtFrame="_blank" w:history="1"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À l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’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 xml:space="preserve">appel de 130 associations, organisations, syndicats et partis politiques, partout en 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France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 xml:space="preserve"> le samedi 23 septembre 2017, marchons ensemble pour un monde de solidarité, de justice, de liberté, d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’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égalité, de fraternité et de Paix</w:t>
                                            </w:r>
                                            <w:r w:rsidR="00CA4E5C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 </w:t>
                                            </w:r>
                                            <w:r w:rsidR="007F5723"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!</w:t>
                                            </w:r>
                                          </w:hyperlink>
                                        </w:p>
                                        <w:p w:rsidR="007F5723" w:rsidRPr="007F5723" w:rsidRDefault="007F5723" w:rsidP="007F572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</w:pPr>
                                          <w:r w:rsidRPr="007F5723"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 w:rsidRPr="007F5723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9"/>
                                                <w:u w:val="single"/>
                                                <w:lang w:eastAsia="fr-FR"/>
                                              </w:rPr>
                                              <w:t>En marche pour la paix – Stop la guerre – Stop les violences</w:t>
                                            </w:r>
                                          </w:hyperlink>
                                        </w:p>
                                        <w:p w:rsidR="007F5723" w:rsidRPr="007F5723" w:rsidRDefault="007F5723" w:rsidP="007F572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</w:pPr>
                                          <w:r w:rsidRPr="007F5723"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9"/>
                                              <w:szCs w:val="19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F5723" w:rsidRPr="007F5723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F5723" w:rsidRPr="007F5723" w:rsidRDefault="007F5723" w:rsidP="007F5723">
                                          <w:pPr>
                                            <w:spacing w:after="0" w:line="14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7F5723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F5723" w:rsidRPr="007F572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F5723" w:rsidRPr="007F5723" w:rsidRDefault="00CA4E5C" w:rsidP="007F572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F5723" w:rsidRPr="007F5723" w:rsidRDefault="007F5723" w:rsidP="007F57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5723" w:rsidRPr="007F5723" w:rsidRDefault="007F5723" w:rsidP="007F57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F5723" w:rsidRPr="007F5723" w:rsidRDefault="007F5723" w:rsidP="007F57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F5723" w:rsidRPr="007F5723" w:rsidRDefault="007F5723" w:rsidP="007F5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7F5723" w:rsidRPr="007F5723" w:rsidRDefault="007F5723" w:rsidP="007F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6B9E" w:rsidRDefault="00A36B9E"/>
    <w:sectPr w:rsidR="00A36B9E" w:rsidSect="00A3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5723"/>
    <w:rsid w:val="000260E6"/>
    <w:rsid w:val="00403453"/>
    <w:rsid w:val="007F5723"/>
    <w:rsid w:val="00A36B9E"/>
    <w:rsid w:val="00CA4E5C"/>
    <w:rsid w:val="00CB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b">
    <w:name w:val="u_b"/>
    <w:basedOn w:val="Policepardfaut"/>
    <w:rsid w:val="007F5723"/>
  </w:style>
  <w:style w:type="character" w:customStyle="1" w:styleId="df">
    <w:name w:val="d_f"/>
    <w:basedOn w:val="Policepardfaut"/>
    <w:rsid w:val="007F5723"/>
  </w:style>
  <w:style w:type="character" w:customStyle="1" w:styleId="un">
    <w:name w:val="u_n"/>
    <w:basedOn w:val="Policepardfaut"/>
    <w:rsid w:val="007F5723"/>
  </w:style>
  <w:style w:type="character" w:customStyle="1" w:styleId="c4z2avtcy">
    <w:name w:val="c4_z2avtcy"/>
    <w:basedOn w:val="Policepardfaut"/>
    <w:rsid w:val="007F5723"/>
  </w:style>
  <w:style w:type="character" w:styleId="Lienhypertexte">
    <w:name w:val="Hyperlink"/>
    <w:basedOn w:val="Policepardfaut"/>
    <w:uiPriority w:val="99"/>
    <w:semiHidden/>
    <w:unhideWhenUsed/>
    <w:rsid w:val="007F572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F572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456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058">
              <w:marLeft w:val="0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135">
          <w:marLeft w:val="109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4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3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77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k5.r.ca.d.sendibm2.com/track/click/yv7utmli8207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k5.r.ca.d.sendibm2.com/track/click/yv7utmkps207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k5.r.ca.d.sendibm2.com/track/click/yv7utmjxc207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yjk5.r.ca.d.sendibm2.com/track/click/yv7utmn342073d" TargetMode="External"/><Relationship Id="rId4" Type="http://schemas.openxmlformats.org/officeDocument/2006/relationships/hyperlink" Target="http://yjk5.r.ca.d.sendibm2.com/track/click/2wlnkh2lc2073d" TargetMode="External"/><Relationship Id="rId9" Type="http://schemas.openxmlformats.org/officeDocument/2006/relationships/hyperlink" Target="http://yjk5.r.ca.d.sendibm2.com/track/click/yv7utmmao207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2017-09-21T07:00:00Z</dcterms:created>
  <dcterms:modified xsi:type="dcterms:W3CDTF">2017-09-21T07:20:00Z</dcterms:modified>
</cp:coreProperties>
</file>